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5027"/>
        <w:gridCol w:w="2343"/>
        <w:gridCol w:w="1657"/>
      </w:tblGrid>
      <w:tr w:rsidR="00AE05FD" w14:paraId="49EFA924" w14:textId="77777777" w:rsidTr="00AE05FD">
        <w:trPr>
          <w:trHeight w:val="1062"/>
          <w:jc w:val="center"/>
        </w:trPr>
        <w:tc>
          <w:tcPr>
            <w:tcW w:w="1772" w:type="dxa"/>
            <w:shd w:val="clear" w:color="auto" w:fill="FFFFFF"/>
            <w:hideMark/>
          </w:tcPr>
          <w:p w14:paraId="2BEFFD11" w14:textId="4FDD004F" w:rsidR="00AE05FD" w:rsidRDefault="00AE05FD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noProof/>
                <w:color w:val="000000"/>
                <w:sz w:val="22"/>
                <w:lang w:eastAsia="pl-PL"/>
              </w:rPr>
              <w:drawing>
                <wp:inline distT="0" distB="0" distL="0" distR="0" wp14:anchorId="7BE56F69" wp14:editId="70E65879">
                  <wp:extent cx="612140" cy="755650"/>
                  <wp:effectExtent l="0" t="0" r="0" b="6350"/>
                  <wp:docPr id="15750435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55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shd w:val="clear" w:color="auto" w:fill="FFFFFF"/>
            <w:vAlign w:val="center"/>
          </w:tcPr>
          <w:p w14:paraId="30CC3AA3" w14:textId="77777777" w:rsidR="00AE05FD" w:rsidRDefault="00AE05FD">
            <w:pPr>
              <w:snapToGrid w:val="0"/>
              <w:ind w:firstLine="680"/>
              <w:jc w:val="center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>STAROSTWO POWIATOWE W MIŃSKU MAZOWIECKIM</w:t>
            </w:r>
          </w:p>
          <w:p w14:paraId="25F2414E" w14:textId="7185DDF6" w:rsidR="00AE05FD" w:rsidRDefault="005F585C" w:rsidP="005F585C">
            <w:pPr>
              <w:snapToGrid w:val="0"/>
              <w:ind w:firstLine="680"/>
              <w:rPr>
                <w:rFonts w:ascii="Arial Narrow" w:hAnsi="Arial Narrow"/>
                <w:b/>
                <w:color w:val="000000"/>
                <w:sz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</w:rPr>
              <w:t xml:space="preserve">              GEOLOG POWIATOWY</w:t>
            </w:r>
          </w:p>
          <w:p w14:paraId="59C008C1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2"/>
              </w:rPr>
            </w:pPr>
          </w:p>
          <w:p w14:paraId="371CAF87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05-300 Mińsk Mazowiecki, </w:t>
            </w:r>
          </w:p>
          <w:p w14:paraId="62869898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ul. Konstytucji 3-go Maja 16</w:t>
            </w:r>
          </w:p>
          <w:p w14:paraId="6098F527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Tel.: (25) 756 40 50, fax: (25) 756 40 60</w:t>
            </w:r>
          </w:p>
          <w:p w14:paraId="6701D59F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hyperlink r:id="rId8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color w:val="000000"/>
                <w:sz w:val="18"/>
              </w:rPr>
              <w:t xml:space="preserve">, </w:t>
            </w:r>
          </w:p>
          <w:p w14:paraId="4C6D29A6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sz w:val="18"/>
                <w:u w:val="single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e-mail: </w:t>
            </w:r>
            <w:hyperlink r:id="rId9" w:history="1">
              <w:r>
                <w:rPr>
                  <w:rStyle w:val="Hipercze"/>
                  <w:rFonts w:ascii="Arial Narrow" w:hAnsi="Arial Narrow"/>
                </w:rPr>
                <w:t>boi210@powiatminski.pl</w:t>
              </w:r>
            </w:hyperlink>
          </w:p>
          <w:p w14:paraId="12E3ACEF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color w:val="000000"/>
                <w:sz w:val="18"/>
              </w:rPr>
            </w:pPr>
            <w:r>
              <w:rPr>
                <w:rFonts w:ascii="Arial Narrow" w:hAnsi="Arial Narrow"/>
                <w:color w:val="000000"/>
                <w:sz w:val="18"/>
              </w:rPr>
              <w:t xml:space="preserve">BIP: http://www.powiatminski.pl/bip/ </w:t>
            </w:r>
          </w:p>
        </w:tc>
        <w:tc>
          <w:tcPr>
            <w:tcW w:w="2343" w:type="dxa"/>
            <w:shd w:val="clear" w:color="auto" w:fill="FFFFFF"/>
            <w:vAlign w:val="center"/>
          </w:tcPr>
          <w:p w14:paraId="436E0851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6F41EDCE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4F4CE4A2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53EBEACD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1C9B8D0C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</w:p>
          <w:p w14:paraId="167EBF48" w14:textId="77777777" w:rsidR="00AE05FD" w:rsidRDefault="00AE05FD">
            <w:pPr>
              <w:ind w:firstLine="680"/>
              <w:jc w:val="center"/>
              <w:rPr>
                <w:rFonts w:ascii="Arial Narrow" w:hAnsi="Arial Narrow"/>
                <w:b/>
                <w:color w:val="000000"/>
                <w:sz w:val="1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7CF04B" w14:textId="77777777" w:rsidR="00AE05FD" w:rsidRDefault="00AE05FD" w:rsidP="005F585C">
            <w:pPr>
              <w:snapToGrid w:val="0"/>
              <w:jc w:val="both"/>
              <w:rPr>
                <w:rFonts w:ascii="Arial Narrow" w:hAnsi="Arial Narrow"/>
                <w:b/>
                <w:color w:val="000000"/>
                <w:sz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</w:rPr>
              <w:t>KARTA USŁUG NR</w:t>
            </w:r>
          </w:p>
          <w:p w14:paraId="2F1B3D7F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b/>
                <w:color w:val="000000"/>
                <w:sz w:val="12"/>
              </w:rPr>
            </w:pPr>
          </w:p>
          <w:p w14:paraId="4312F938" w14:textId="7AB89422" w:rsidR="00AE05FD" w:rsidRDefault="005F585C" w:rsidP="005F585C">
            <w:pPr>
              <w:ind w:firstLine="680"/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>GP</w:t>
            </w:r>
          </w:p>
        </w:tc>
      </w:tr>
    </w:tbl>
    <w:p w14:paraId="0A38B514" w14:textId="77777777" w:rsidR="00AE05FD" w:rsidRDefault="00AE05FD" w:rsidP="00AE05FD">
      <w:pPr>
        <w:shd w:val="clear" w:color="auto" w:fill="FFFFFF"/>
      </w:pPr>
    </w:p>
    <w:tbl>
      <w:tblPr>
        <w:tblW w:w="10020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0"/>
      </w:tblGrid>
      <w:tr w:rsidR="00AE05FD" w14:paraId="35A37859" w14:textId="77777777" w:rsidTr="00AE05FD">
        <w:trPr>
          <w:trHeight w:val="110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3C87826E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1. Nazwa sprawy</w:t>
            </w:r>
          </w:p>
        </w:tc>
      </w:tr>
      <w:tr w:rsidR="00AE05FD" w14:paraId="2B46560E" w14:textId="77777777" w:rsidTr="00AE05FD">
        <w:trPr>
          <w:trHeight w:val="18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5B4CC59F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  <w:sz w:val="28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>Przeniesienie koncesji na rzecz innego podmiotu</w:t>
            </w:r>
          </w:p>
        </w:tc>
      </w:tr>
      <w:tr w:rsidR="00AE05FD" w14:paraId="3730DD91" w14:textId="77777777" w:rsidTr="00AE05FD">
        <w:trPr>
          <w:trHeight w:val="193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44602323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2. Miejsce załatwienia sprawy</w:t>
            </w:r>
          </w:p>
        </w:tc>
      </w:tr>
      <w:tr w:rsidR="00AE05FD" w14:paraId="32ED35A1" w14:textId="77777777" w:rsidTr="00AE05FD">
        <w:trPr>
          <w:trHeight w:val="361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68B0D412" w14:textId="77777777" w:rsidR="00AE05FD" w:rsidRDefault="00AE05FD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pokój nr 213, II piętro,</w:t>
            </w:r>
          </w:p>
          <w:p w14:paraId="62C4B2EB" w14:textId="77777777" w:rsidR="00AE05FD" w:rsidRDefault="00AE05FD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tel. (25) 75640 53,e-mail: </w:t>
            </w:r>
            <w:hyperlink r:id="rId10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  <w:r>
              <w:rPr>
                <w:rFonts w:ascii="Arial Narrow" w:hAnsi="Arial Narrow"/>
                <w:color w:val="000000"/>
                <w:sz w:val="20"/>
              </w:rPr>
              <w:t>,</w:t>
            </w:r>
          </w:p>
          <w:p w14:paraId="2F10CF4B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Czas pracy</w:t>
            </w:r>
            <w:r>
              <w:rPr>
                <w:rFonts w:ascii="Arial Narrow" w:hAnsi="Arial Narrow"/>
                <w:sz w:val="20"/>
                <w:szCs w:val="20"/>
              </w:rPr>
              <w:t>:    poniedziałki  8.00-16.00,  wtorki 8.00-16.00, środy 8.00-17.00, czwartki 8.00-16.00, piątki  8.00-15.00</w:t>
            </w:r>
          </w:p>
        </w:tc>
      </w:tr>
      <w:tr w:rsidR="00AE05FD" w14:paraId="1D290A00" w14:textId="77777777" w:rsidTr="00AE05FD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512F42F8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3. Podstawa prawna</w:t>
            </w:r>
          </w:p>
        </w:tc>
      </w:tr>
      <w:tr w:rsidR="00AE05FD" w14:paraId="7916F8EB" w14:textId="77777777" w:rsidTr="00AE05FD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A7156AD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Art. 36 ustawy z dnia 9 czerwca 2011 roku Prawo geologiczne i górnicze </w:t>
            </w:r>
          </w:p>
        </w:tc>
      </w:tr>
      <w:tr w:rsidR="00AE05FD" w14:paraId="357E3A4E" w14:textId="77777777" w:rsidTr="00AE05FD">
        <w:trPr>
          <w:trHeight w:val="2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015859EB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Wymagane dokumenty</w:t>
            </w:r>
          </w:p>
        </w:tc>
      </w:tr>
      <w:tr w:rsidR="00AE05FD" w14:paraId="54D55C37" w14:textId="77777777" w:rsidTr="00AE05FD">
        <w:trPr>
          <w:trHeight w:val="372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68F8313" w14:textId="77777777" w:rsidR="00AE05FD" w:rsidRDefault="00AE05FD">
            <w:pPr>
              <w:tabs>
                <w:tab w:val="left" w:pos="180"/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Wniosek o przeniesienie koncesji </w:t>
            </w:r>
            <w:r>
              <w:rPr>
                <w:rFonts w:ascii="Arial Narrow" w:hAnsi="Arial Narrow"/>
                <w:sz w:val="20"/>
              </w:rPr>
              <w:t xml:space="preserve">(przeniesienie koncesji następuje na wniosek podmiotu, który ubiega się o to  </w:t>
            </w:r>
            <w:r>
              <w:rPr>
                <w:rFonts w:ascii="Arial Narrow" w:hAnsi="Arial Narrow"/>
                <w:sz w:val="20"/>
              </w:rPr>
              <w:br/>
              <w:t xml:space="preserve">               przeniesienie) zawierający:</w:t>
            </w:r>
          </w:p>
          <w:p w14:paraId="0AA452D0" w14:textId="77777777" w:rsid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 oznaczenie wnioskodawcy, jego siedziby i adresu,</w:t>
            </w:r>
          </w:p>
          <w:p w14:paraId="5D09A00C" w14:textId="77777777" w:rsid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2. określenie numeru w rejestrze przedsiębiorców lub w ewidencji działalności gospodarczej, numeru identyfikacji podatkowej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NIP (załącznik: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odpis z Krajowego Rejestru Sądowego lub zaświadczenie z ewidencji działalności gospodarczej,  </w:t>
            </w:r>
            <w:r>
              <w:rPr>
                <w:rFonts w:ascii="Arial Narrow" w:hAnsi="Arial Narrow" w:cs="Times New Roman"/>
                <w:sz w:val="20"/>
                <w:szCs w:val="20"/>
              </w:rPr>
              <w:br/>
              <w:t xml:space="preserve">               zaświadczenie o nadaniu NIP-u. Ponadto </w:t>
            </w:r>
            <w:r>
              <w:rPr>
                <w:rFonts w:ascii="Arial Narrow" w:hAnsi="Arial Narrow" w:cs="Times New Roman"/>
                <w:iCs/>
                <w:sz w:val="20"/>
                <w:szCs w:val="20"/>
              </w:rPr>
              <w:t xml:space="preserve">w przypadku spółek cywilnych dodatkowo: kopia umowy spółki cywilnej wraz z </w:t>
            </w:r>
            <w:r>
              <w:rPr>
                <w:rFonts w:ascii="Arial Narrow" w:hAnsi="Arial Narrow" w:cs="Times New Roman"/>
                <w:iCs/>
                <w:sz w:val="20"/>
                <w:szCs w:val="20"/>
              </w:rPr>
              <w:br/>
              <w:t xml:space="preserve">               ewentualnymi aneksami oraz adresy korespondencyjne wszystkich wspólników</w:t>
            </w:r>
            <w:r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14:paraId="554DC5D3" w14:textId="77777777" w:rsid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 znak decyzji udzielającej koncesji, która ma być przeniesiona, datę jej wydania, nazwę organu wydającego oraz wszystkie          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jej zmiany,</w:t>
            </w:r>
          </w:p>
          <w:p w14:paraId="23AB04D9" w14:textId="77777777" w:rsidR="00AE05FD" w:rsidRDefault="00AE05FD">
            <w:pPr>
              <w:pStyle w:val="Default"/>
              <w:spacing w:after="7"/>
              <w:ind w:firstLine="68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Do wniosku należy dołączyć:</w:t>
            </w:r>
          </w:p>
          <w:p w14:paraId="72E5C076" w14:textId="77777777" w:rsidR="00AE05FD" w:rsidRDefault="00AE05FD">
            <w:pPr>
              <w:pStyle w:val="Default"/>
              <w:spacing w:after="7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 zgodę dotychczasowego przedsiębiorcy na przeniesienie koncesji na rzecz innego podmiotu,</w:t>
            </w:r>
          </w:p>
          <w:p w14:paraId="73156194" w14:textId="77777777" w:rsidR="00AE05FD" w:rsidRDefault="00AE05FD">
            <w:pPr>
              <w:pStyle w:val="Default"/>
              <w:spacing w:after="7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2. zgodę przedsiębiorcy, na rzecz którego koncesja zostanie przeniesiona, na przyjęcie wszystkich warunków określonych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 koncesji; </w:t>
            </w:r>
          </w:p>
          <w:p w14:paraId="164D6E91" w14:textId="77777777" w:rsid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 dokumenty potwierdzające, prawo wnioskodawcy do korzystania z informacji geologicznej w zakresie niezbędnym do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wykonywania zamierzonej działalności (decyzja udzielająca koncesji na poszukiwanie lub rozpoznawanie złoża, decyzja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zatwierdzająca projekt robót geologicznych)- nie dotyczy koncesji wydanych przed dniem 1 stycznia 2012 r.,</w:t>
            </w:r>
          </w:p>
          <w:p w14:paraId="12D94B18" w14:textId="4D40D626" w:rsidR="00AE05FD" w:rsidRP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 dokumenty poświadczające wykazanie się </w:t>
            </w:r>
            <w:r w:rsidRPr="00AE05FD">
              <w:rPr>
                <w:rFonts w:ascii="Arial Narrow" w:hAnsi="Arial Narrow"/>
                <w:sz w:val="20"/>
                <w:szCs w:val="20"/>
              </w:rPr>
              <w:t xml:space="preserve">podmiotu, który ubiega się o przeniesienie koncesji prawem do korzystania z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 </w:t>
            </w:r>
            <w:r w:rsidRPr="00AE05FD">
              <w:rPr>
                <w:rFonts w:ascii="Arial Narrow" w:hAnsi="Arial Narrow"/>
                <w:sz w:val="20"/>
                <w:szCs w:val="20"/>
              </w:rPr>
              <w:t xml:space="preserve">nieruchomości gruntowej </w:t>
            </w:r>
            <w:r w:rsidR="005F585C">
              <w:rPr>
                <w:rFonts w:ascii="Arial Narrow" w:hAnsi="Arial Narrow"/>
                <w:sz w:val="20"/>
                <w:szCs w:val="20"/>
              </w:rPr>
              <w:t xml:space="preserve">albo przyrzeczeniem uzyskania tego prawa </w:t>
            </w:r>
            <w:r w:rsidRPr="00AE05FD">
              <w:rPr>
                <w:rFonts w:ascii="Arial Narrow" w:hAnsi="Arial Narrow"/>
                <w:sz w:val="20"/>
                <w:szCs w:val="20"/>
              </w:rPr>
              <w:t xml:space="preserve">(np.: wypis z ewidencji gruntów, umowa dzierżawy), </w:t>
            </w:r>
          </w:p>
          <w:p w14:paraId="339777A2" w14:textId="19DE8942" w:rsidR="00AE05FD" w:rsidRDefault="00AE05FD">
            <w:pPr>
              <w:pStyle w:val="Default"/>
              <w:ind w:firstLine="680"/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5. dokumenty potwierdzające, że przedsiębiorca ubiegający się o przeniesienie koncesji jest w stanie spełnić wymagania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 związane z wykonywaniem zamierzonej działalności (np.: wykaz posiadanych maszyn i urządzeń do eksploatacji kopaliny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lub umowa wynajmu/dzierżawy w/w sprzętu, itp., zaświadczenie z ZUSu, Urzędu Skarbowego o niezaleganiu składek,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    opinia z banku).</w:t>
            </w:r>
          </w:p>
        </w:tc>
      </w:tr>
      <w:tr w:rsidR="00AE05FD" w14:paraId="58071D14" w14:textId="77777777" w:rsidTr="00AE05FD">
        <w:trPr>
          <w:trHeight w:val="123"/>
        </w:trPr>
        <w:tc>
          <w:tcPr>
            <w:tcW w:w="10013" w:type="dxa"/>
            <w:shd w:val="clear" w:color="auto" w:fill="C0C0C0"/>
            <w:hideMark/>
          </w:tcPr>
          <w:p w14:paraId="183F8612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5. Opłata</w:t>
            </w:r>
          </w:p>
        </w:tc>
      </w:tr>
      <w:tr w:rsidR="00AE05FD" w14:paraId="5451A836" w14:textId="77777777" w:rsidTr="00AE05FD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3F37F7B" w14:textId="77777777" w:rsidR="00AE05FD" w:rsidRDefault="00AE05FD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Opłata skarbowa w wysokości 10 zł na podst. art. 1 ust. 1 pkt 1a, art. 5 ust. 1 i art. 6 ust. 1 pkt 1 ustawy z dnia 16 listopada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2006 r. o opłacie skarbowej oraz części I poz. 53 załącznika do tej ustawy. </w:t>
            </w:r>
          </w:p>
          <w:p w14:paraId="4F6E44C9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Opłatę wnosi się,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z chwilą złożenia wniosku,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 w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kasie Urzędu Miasta w Mińsku Mazowieckim, ul. Konstytucji 3 Maja 1 lub na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br/>
              <w:t xml:space="preserve">               rachunek bankowy Urzędu Miasta w Mińsku Mazowieckim  nr: </w:t>
            </w:r>
            <w:r>
              <w:rPr>
                <w:rStyle w:val="Pogrubienie"/>
                <w:rFonts w:ascii="Arial Narrow" w:hAnsi="Arial Narrow" w:cs="Arial"/>
                <w:color w:val="000000"/>
                <w:sz w:val="20"/>
                <w:szCs w:val="20"/>
              </w:rPr>
              <w:t xml:space="preserve">88 9226 0005 0024 4185 2000 0030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lub w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t xml:space="preserve">kasie Starostwa </w:t>
            </w:r>
            <w:r>
              <w:rPr>
                <w:rFonts w:ascii="Arial Narrow" w:hAnsi="Arial Narrow"/>
                <w:color w:val="000000"/>
                <w:sz w:val="20"/>
                <w:szCs w:val="17"/>
              </w:rPr>
              <w:br/>
              <w:t xml:space="preserve">               Powiatowego w Mińsku Mazowieckim w godz.: </w:t>
            </w:r>
            <w:r>
              <w:rPr>
                <w:rFonts w:ascii="Arial Narrow" w:hAnsi="Arial Narrow"/>
                <w:sz w:val="20"/>
                <w:szCs w:val="20"/>
              </w:rPr>
              <w:t>poniedziałki  8.00-15.00,  wtorki 8.00-15.00, środy 8.00-16.00, czwartki 8.00-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15.00, piątki  8.00-14.00</w:t>
            </w:r>
          </w:p>
        </w:tc>
      </w:tr>
      <w:tr w:rsidR="00AE05FD" w14:paraId="65AA0C63" w14:textId="77777777" w:rsidTr="00AE05FD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5BAF0D9C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6. Miejsce złożenia dokumentów</w:t>
            </w:r>
          </w:p>
        </w:tc>
      </w:tr>
      <w:tr w:rsidR="00AE05FD" w14:paraId="38AE587A" w14:textId="77777777" w:rsidTr="00AE05FD">
        <w:trPr>
          <w:trHeight w:val="2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47AA0F53" w14:textId="77777777" w:rsidR="00AE05FD" w:rsidRDefault="00AE05FD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Biuro Obsługi Interesantów, pokój nr 210, II piętro, tel. (25) 756 40 50,</w:t>
            </w:r>
          </w:p>
          <w:p w14:paraId="621AC96D" w14:textId="77777777" w:rsidR="00AE05FD" w:rsidRDefault="00AE05FD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AE05FD" w14:paraId="752F5E38" w14:textId="77777777" w:rsidTr="00AE05FD">
        <w:trPr>
          <w:trHeight w:val="137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13852028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7. Termin załatwienia</w:t>
            </w:r>
          </w:p>
        </w:tc>
      </w:tr>
      <w:tr w:rsidR="00AE05FD" w14:paraId="7787A2C1" w14:textId="77777777" w:rsidTr="00AE05FD">
        <w:trPr>
          <w:trHeight w:val="1815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353E7352" w14:textId="2F47BAD6" w:rsidR="00AE05FD" w:rsidRDefault="00AE05FD">
            <w:pPr>
              <w:tabs>
                <w:tab w:val="left" w:pos="1800"/>
              </w:tabs>
              <w:snapToGrid w:val="0"/>
              <w:ind w:firstLine="709"/>
              <w:jc w:val="both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Zgodnie z art. 35 § 1 i § 3 ustawy z dnia 14 czerwca 1960 r. Kodeks postępowania administracyjnego nie później niż w ciągu   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miesiąca, a sprawy szczególnie skomplikowane - nie później niż w ciągu dwóch miesięcy od dnia wszczęcia postępowania. </w:t>
            </w:r>
          </w:p>
          <w:tbl>
            <w:tblPr>
              <w:tblW w:w="1027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27"/>
              <w:gridCol w:w="48"/>
            </w:tblGrid>
            <w:tr w:rsidR="00AE05FD" w14:paraId="616B568F" w14:textId="77777777">
              <w:trPr>
                <w:gridAfter w:val="1"/>
                <w:wAfter w:w="48" w:type="dxa"/>
                <w:trHeight w:val="49"/>
              </w:trPr>
              <w:tc>
                <w:tcPr>
                  <w:tcW w:w="10227" w:type="dxa"/>
                  <w:shd w:val="clear" w:color="auto" w:fill="C0C0C0"/>
                  <w:vAlign w:val="center"/>
                  <w:hideMark/>
                </w:tcPr>
                <w:p w14:paraId="37DAD6B3" w14:textId="77777777" w:rsidR="00AE05FD" w:rsidRDefault="00AE05FD" w:rsidP="00AE05FD">
                  <w:pPr>
                    <w:snapToGrid w:val="0"/>
                    <w:ind w:left="-191" w:firstLine="771"/>
                    <w:jc w:val="both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8. Tryb odwoławczy</w:t>
                  </w:r>
                </w:p>
              </w:tc>
            </w:tr>
            <w:tr w:rsidR="00AE05FD" w14:paraId="762942CE" w14:textId="77777777">
              <w:trPr>
                <w:trHeight w:val="163"/>
              </w:trPr>
              <w:tc>
                <w:tcPr>
                  <w:tcW w:w="10275" w:type="dxa"/>
                  <w:gridSpan w:val="2"/>
                  <w:shd w:val="clear" w:color="auto" w:fill="FFFFFF"/>
                  <w:vAlign w:val="center"/>
                  <w:hideMark/>
                </w:tcPr>
                <w:p w14:paraId="6DE49B5D" w14:textId="15C3F6C4" w:rsidR="00AE05FD" w:rsidRDefault="00AE05FD">
                  <w:pPr>
                    <w:tabs>
                      <w:tab w:val="left" w:pos="1800"/>
                    </w:tabs>
                    <w:snapToGrid w:val="0"/>
                    <w:ind w:left="-49" w:hanging="384"/>
                    <w:jc w:val="both"/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 xml:space="preserve">Stro       Stronie służy odwołanie od decyzji do Samorządowego Kolegium Odwoławczego w Siedlcach, za pośrednictwem Starosty  </w:t>
                  </w:r>
                  <w:r>
                    <w:rPr>
                      <w:rFonts w:ascii="Arial Narrow" w:hAnsi="Arial Narrow"/>
                      <w:sz w:val="20"/>
                    </w:rPr>
                    <w:br/>
                    <w:t xml:space="preserve">            Mińskiego, na podstawie art. 17 punkt 1, art. 127 § 2 i 129 § 1 i § 2 ustawy z dnia 14 czerwca 1960 r. Kodeks postępowania </w:t>
                  </w:r>
                  <w:r>
                    <w:rPr>
                      <w:rFonts w:ascii="Arial Narrow" w:hAnsi="Arial Narrow"/>
                      <w:sz w:val="20"/>
                    </w:rPr>
                    <w:br/>
                    <w:t xml:space="preserve">            administracyjnego oraz § 1 punkt 7e rozporządzenia Prezesa Rady Ministrów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z dnia 17 listopada 2003 r. </w:t>
                  </w:r>
                  <w:r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w sprawie obszarów </w:t>
                  </w:r>
                  <w:r>
                    <w:rPr>
                      <w:rFonts w:ascii="Arial Narrow" w:hAnsi="Arial Narrow"/>
                      <w:bCs/>
                      <w:sz w:val="20"/>
                      <w:szCs w:val="20"/>
                    </w:rPr>
                    <w:br/>
                    <w:t xml:space="preserve">            właściwości miejscowej samorządowych kolegiów odwoławczych. </w:t>
                  </w:r>
                </w:p>
              </w:tc>
            </w:tr>
          </w:tbl>
          <w:p w14:paraId="27F4DB23" w14:textId="77777777" w:rsidR="00AE05FD" w:rsidRDefault="00AE05FD">
            <w:pPr>
              <w:suppressAutoHyphens w:val="0"/>
              <w:ind w:firstLine="709"/>
              <w:jc w:val="both"/>
              <w:rPr>
                <w:lang w:eastAsia="pl-PL"/>
              </w:rPr>
            </w:pPr>
          </w:p>
        </w:tc>
      </w:tr>
      <w:tr w:rsidR="00AE05FD" w14:paraId="0D627884" w14:textId="77777777" w:rsidTr="00AE05FD">
        <w:trPr>
          <w:trHeight w:val="66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297BCC89" w14:textId="77777777" w:rsidR="00AE05FD" w:rsidRDefault="00AE05FD">
            <w:pPr>
              <w:suppressAutoHyphens w:val="0"/>
              <w:ind w:firstLine="709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AE05FD" w14:paraId="079537CC" w14:textId="77777777" w:rsidTr="00AE05FD">
        <w:trPr>
          <w:trHeight w:val="55"/>
        </w:trPr>
        <w:tc>
          <w:tcPr>
            <w:tcW w:w="10013" w:type="dxa"/>
            <w:shd w:val="clear" w:color="auto" w:fill="C0C0C0"/>
            <w:vAlign w:val="center"/>
            <w:hideMark/>
          </w:tcPr>
          <w:p w14:paraId="15B62424" w14:textId="77777777" w:rsidR="00AE05FD" w:rsidRDefault="00AE05FD">
            <w:pPr>
              <w:snapToGrid w:val="0"/>
              <w:ind w:firstLine="680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lastRenderedPageBreak/>
              <w:t>9. Informacje dodatkowe</w:t>
            </w:r>
          </w:p>
        </w:tc>
      </w:tr>
      <w:tr w:rsidR="00AE05FD" w14:paraId="0D0D69F8" w14:textId="77777777" w:rsidTr="00AE05FD">
        <w:trPr>
          <w:trHeight w:val="160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028A41DD" w14:textId="77777777" w:rsidR="00AE05FD" w:rsidRDefault="00AE05FD">
            <w:pPr>
              <w:rPr>
                <w:rFonts w:ascii="Arial Narrow" w:hAnsi="Arial Narrow"/>
                <w:b/>
                <w:color w:val="000000"/>
              </w:rPr>
            </w:pPr>
          </w:p>
        </w:tc>
      </w:tr>
      <w:tr w:rsidR="00AE05FD" w14:paraId="610918F8" w14:textId="77777777" w:rsidTr="00AE05FD">
        <w:trPr>
          <w:trHeight w:val="298"/>
        </w:trPr>
        <w:tc>
          <w:tcPr>
            <w:tcW w:w="10013" w:type="dxa"/>
            <w:shd w:val="clear" w:color="auto" w:fill="FFFFFF"/>
            <w:vAlign w:val="center"/>
            <w:hideMark/>
          </w:tcPr>
          <w:p w14:paraId="56A708CA" w14:textId="77777777" w:rsidR="00AE05FD" w:rsidRDefault="00AE05FD">
            <w:pPr>
              <w:suppressAutoHyphens w:val="0"/>
              <w:ind w:firstLine="680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Zgodnie z art. 36 ust. 7 ustawy z dnia 9 czerwca 2011 roku Prawo geologiczne i górnicze przeniesienie koncesji przenosi  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br/>
              <w:t xml:space="preserve">   również prawa i obowiązki wynikające z innych decyzji wydanych na podstawie ustawy.</w:t>
            </w:r>
          </w:p>
        </w:tc>
      </w:tr>
    </w:tbl>
    <w:p w14:paraId="350FCCB8" w14:textId="77777777" w:rsidR="00AE05FD" w:rsidRDefault="00AE05FD" w:rsidP="00AE05FD"/>
    <w:p w14:paraId="468B3771" w14:textId="77777777" w:rsidR="008A6047" w:rsidRDefault="008A6047"/>
    <w:sectPr w:rsidR="008A6047" w:rsidSect="00AE05FD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F851B" w14:textId="77777777" w:rsidR="005F585C" w:rsidRDefault="005F585C" w:rsidP="005F585C">
      <w:r>
        <w:separator/>
      </w:r>
    </w:p>
  </w:endnote>
  <w:endnote w:type="continuationSeparator" w:id="0">
    <w:p w14:paraId="2F59D4F7" w14:textId="77777777" w:rsidR="005F585C" w:rsidRDefault="005F585C" w:rsidP="005F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D8A55" w14:textId="77777777" w:rsidR="005F585C" w:rsidRDefault="005F585C" w:rsidP="005F585C">
      <w:r>
        <w:separator/>
      </w:r>
    </w:p>
  </w:footnote>
  <w:footnote w:type="continuationSeparator" w:id="0">
    <w:p w14:paraId="13C47B95" w14:textId="77777777" w:rsidR="005F585C" w:rsidRDefault="005F585C" w:rsidP="005F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D984782-8E80-463B-B409-27921C45F646}"/>
  </w:docVars>
  <w:rsids>
    <w:rsidRoot w:val="00AE05FD"/>
    <w:rsid w:val="005F585C"/>
    <w:rsid w:val="008A6047"/>
    <w:rsid w:val="00AE05FD"/>
    <w:rsid w:val="00B4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12C9"/>
  <w15:chartTrackingRefBased/>
  <w15:docId w15:val="{34631126-9A7E-4E38-8CBC-D7A0108D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5F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AE05FD"/>
    <w:rPr>
      <w:color w:val="0000FF"/>
      <w:u w:val="single"/>
    </w:rPr>
  </w:style>
  <w:style w:type="paragraph" w:customStyle="1" w:styleId="Default">
    <w:name w:val="Default"/>
    <w:rsid w:val="00AE05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E05F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F5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85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5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85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5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minski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eolog@powiatminski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i210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D984782-8E80-463B-B409-27921C45F6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700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2</cp:revision>
  <dcterms:created xsi:type="dcterms:W3CDTF">2023-11-03T10:11:00Z</dcterms:created>
  <dcterms:modified xsi:type="dcterms:W3CDTF">2025-04-07T09:44:00Z</dcterms:modified>
</cp:coreProperties>
</file>